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402" w:rsidRDefault="00214402" w:rsidP="00214402">
      <w:pPr>
        <w:tabs>
          <w:tab w:val="left" w:pos="-72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PAGARÉ</w:t>
      </w:r>
    </w:p>
    <w:p w:rsidR="00214402" w:rsidRDefault="00214402" w:rsidP="00214402">
      <w:pPr>
        <w:tabs>
          <w:tab w:val="left" w:pos="-720"/>
        </w:tabs>
        <w:spacing w:line="240" w:lineRule="auto"/>
        <w:jc w:val="center"/>
        <w:rPr>
          <w:rFonts w:ascii="Times New Roman" w:eastAsia="Times New Roman" w:hAnsi="Times New Roman" w:cs="Times New Roman"/>
          <w:b/>
          <w:sz w:val="20"/>
          <w:szCs w:val="20"/>
        </w:rPr>
      </w:pPr>
    </w:p>
    <w:p w:rsidR="00214402" w:rsidRDefault="004007F8" w:rsidP="00214402">
      <w:pPr>
        <w:spacing w:before="20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(Completar con Lugar y Fecha)</w:t>
      </w:r>
      <w:r w:rsidRPr="004007F8">
        <w:rPr>
          <w:rFonts w:ascii="Times New Roman" w:eastAsia="Times New Roman" w:hAnsi="Times New Roman" w:cs="Times New Roman"/>
          <w:sz w:val="20"/>
          <w:szCs w:val="20"/>
          <w:highlight w:val="yellow"/>
        </w:rPr>
        <w:t xml:space="preserve"> </w:t>
      </w:r>
      <w:r w:rsidRPr="00A10C1D">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w:t>
      </w:r>
      <w:r w:rsidR="00214402">
        <w:rPr>
          <w:rFonts w:ascii="Times New Roman" w:eastAsia="Times New Roman" w:hAnsi="Times New Roman" w:cs="Times New Roman"/>
          <w:sz w:val="20"/>
          <w:szCs w:val="20"/>
        </w:rPr>
        <w:t xml:space="preserve"> </w:t>
      </w:r>
      <w:r w:rsidR="00214402" w:rsidRPr="00A10C1D">
        <w:rPr>
          <w:rFonts w:ascii="Times New Roman" w:eastAsia="Times New Roman" w:hAnsi="Times New Roman" w:cs="Times New Roman"/>
          <w:sz w:val="20"/>
          <w:szCs w:val="20"/>
          <w:highlight w:val="yellow"/>
        </w:rPr>
        <w:t>[●]</w:t>
      </w:r>
      <w:r w:rsidR="00214402">
        <w:rPr>
          <w:rFonts w:ascii="Times New Roman" w:eastAsia="Times New Roman" w:hAnsi="Times New Roman" w:cs="Times New Roman"/>
          <w:sz w:val="20"/>
          <w:szCs w:val="20"/>
        </w:rPr>
        <w:t xml:space="preserve"> de </w:t>
      </w:r>
      <w:r w:rsidR="00214402" w:rsidRPr="00A10C1D">
        <w:rPr>
          <w:rFonts w:ascii="Times New Roman" w:eastAsia="Times New Roman" w:hAnsi="Times New Roman" w:cs="Times New Roman"/>
          <w:sz w:val="20"/>
          <w:szCs w:val="20"/>
          <w:highlight w:val="yellow"/>
        </w:rPr>
        <w:t>[●]</w:t>
      </w:r>
      <w:r w:rsidR="00214402">
        <w:rPr>
          <w:rFonts w:ascii="Times New Roman" w:eastAsia="Times New Roman" w:hAnsi="Times New Roman" w:cs="Times New Roman"/>
          <w:sz w:val="20"/>
          <w:szCs w:val="20"/>
        </w:rPr>
        <w:t xml:space="preserve"> de </w:t>
      </w:r>
      <w:r w:rsidR="00214402" w:rsidRPr="00A10C1D">
        <w:rPr>
          <w:rFonts w:ascii="Times New Roman" w:eastAsia="Times New Roman" w:hAnsi="Times New Roman" w:cs="Times New Roman"/>
          <w:sz w:val="20"/>
          <w:szCs w:val="20"/>
          <w:highlight w:val="yellow"/>
        </w:rPr>
        <w:t>[●]</w:t>
      </w:r>
    </w:p>
    <w:p w:rsidR="00214402" w:rsidRDefault="00214402" w:rsidP="00214402">
      <w:pPr>
        <w:spacing w:before="200" w:line="240" w:lineRule="auto"/>
        <w:jc w:val="right"/>
        <w:rPr>
          <w:rFonts w:ascii="Times New Roman" w:eastAsia="Times New Roman" w:hAnsi="Times New Roman" w:cs="Times New Roman"/>
          <w:sz w:val="20"/>
          <w:szCs w:val="20"/>
        </w:rPr>
      </w:pPr>
    </w:p>
    <w:p w:rsidR="00214402" w:rsidRDefault="00214402" w:rsidP="002144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Por USD </w:t>
      </w:r>
      <w:r w:rsidRPr="00A10C1D">
        <w:rPr>
          <w:rFonts w:ascii="Times New Roman" w:eastAsia="Times New Roman" w:hAnsi="Times New Roman" w:cs="Times New Roman"/>
          <w:sz w:val="20"/>
          <w:szCs w:val="20"/>
          <w:highlight w:val="yellow"/>
        </w:rPr>
        <w:t>[●</w:t>
      </w:r>
      <w:proofErr w:type="gramStart"/>
      <w:r w:rsidRPr="00A10C1D">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w:t>
      </w:r>
      <w:proofErr w:type="gramEnd"/>
    </w:p>
    <w:p w:rsidR="00214402" w:rsidRDefault="00214402" w:rsidP="00214402">
      <w:pPr>
        <w:spacing w:before="200" w:line="240" w:lineRule="auto"/>
        <w:jc w:val="both"/>
        <w:rPr>
          <w:rFonts w:ascii="Times New Roman" w:eastAsia="Times New Roman" w:hAnsi="Times New Roman" w:cs="Times New Roman"/>
          <w:sz w:val="20"/>
          <w:szCs w:val="20"/>
        </w:rPr>
      </w:pPr>
      <w:r w:rsidRPr="00850C9A">
        <w:rPr>
          <w:rFonts w:ascii="Times New Roman" w:eastAsia="Times New Roman" w:hAnsi="Times New Roman" w:cs="Times New Roman"/>
          <w:sz w:val="20"/>
          <w:szCs w:val="20"/>
        </w:rPr>
        <w:t xml:space="preserve">(Dólares estadounidenses </w:t>
      </w:r>
      <w:r w:rsidRPr="00A10C1D">
        <w:rPr>
          <w:rFonts w:ascii="Times New Roman" w:eastAsia="Times New Roman" w:hAnsi="Times New Roman" w:cs="Times New Roman"/>
          <w:sz w:val="20"/>
          <w:szCs w:val="20"/>
          <w:highlight w:val="yellow"/>
        </w:rPr>
        <w:t>[●]</w:t>
      </w:r>
      <w:r w:rsidRPr="00850C9A">
        <w:rPr>
          <w:rFonts w:ascii="Times New Roman" w:eastAsia="Times New Roman" w:hAnsi="Times New Roman" w:cs="Times New Roman"/>
          <w:sz w:val="20"/>
          <w:szCs w:val="20"/>
        </w:rPr>
        <w:t>)</w:t>
      </w:r>
    </w:p>
    <w:p w:rsidR="00214402" w:rsidRDefault="00214402" w:rsidP="00214402">
      <w:pPr>
        <w:spacing w:before="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POR IGUAL VALOR RECIBIDO, </w:t>
      </w:r>
      <w:r w:rsidRPr="00A10C1D">
        <w:rPr>
          <w:rFonts w:ascii="Times New Roman" w:eastAsia="Times New Roman" w:hAnsi="Times New Roman" w:cs="Times New Roman"/>
          <w:sz w:val="20"/>
          <w:szCs w:val="20"/>
          <w:highlight w:val="yellow"/>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DNI </w:t>
      </w:r>
      <w:r w:rsidRPr="00A10C1D">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xml:space="preserve"> (el “</w:t>
      </w:r>
      <w:r>
        <w:rPr>
          <w:rFonts w:ascii="Times New Roman" w:eastAsia="Times New Roman" w:hAnsi="Times New Roman" w:cs="Times New Roman"/>
          <w:sz w:val="20"/>
          <w:szCs w:val="20"/>
          <w:u w:val="single"/>
        </w:rPr>
        <w:t>Deudor</w:t>
      </w:r>
      <w:r>
        <w:rPr>
          <w:rFonts w:ascii="Times New Roman" w:eastAsia="Times New Roman" w:hAnsi="Times New Roman" w:cs="Times New Roman"/>
          <w:sz w:val="20"/>
          <w:szCs w:val="20"/>
        </w:rPr>
        <w:t xml:space="preserve">”) con domicilio en </w:t>
      </w:r>
      <w:r w:rsidRPr="00850C9A">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xml:space="preserve">, República Argentina, PAGARÁ incondicional e irrevocablemente A LA VISTA y SIN PROTESTO (Artículo 50 y 103 del Decreto-Ley No. 5965/63) a </w:t>
      </w:r>
      <w:r>
        <w:rPr>
          <w:rFonts w:ascii="Times New Roman" w:eastAsia="Times New Roman" w:hAnsi="Times New Roman" w:cs="Times New Roman"/>
          <w:b/>
          <w:sz w:val="20"/>
          <w:szCs w:val="20"/>
        </w:rPr>
        <w:t>LDC Argentina S.A.</w:t>
      </w:r>
      <w:r w:rsidRPr="00850C9A">
        <w:rPr>
          <w:rFonts w:ascii="Times New Roman" w:eastAsia="Times New Roman" w:hAnsi="Times New Roman" w:cs="Times New Roman"/>
          <w:sz w:val="20"/>
          <w:szCs w:val="20"/>
        </w:rPr>
        <w:t>, una sociedad constituida bajo las leyes de la República Argentina</w:t>
      </w:r>
      <w:r>
        <w:rPr>
          <w:rFonts w:ascii="Times New Roman" w:eastAsia="Times New Roman" w:hAnsi="Times New Roman" w:cs="Times New Roman"/>
          <w:sz w:val="20"/>
          <w:szCs w:val="20"/>
        </w:rPr>
        <w:t>,</w:t>
      </w:r>
      <w:r w:rsidRPr="00850C9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(el “</w:t>
      </w:r>
      <w:r>
        <w:rPr>
          <w:rFonts w:ascii="Times New Roman" w:eastAsia="Times New Roman" w:hAnsi="Times New Roman" w:cs="Times New Roman"/>
          <w:sz w:val="20"/>
          <w:szCs w:val="20"/>
          <w:u w:val="single"/>
        </w:rPr>
        <w:t>Acreedor</w:t>
      </w:r>
      <w:r>
        <w:rPr>
          <w:rFonts w:ascii="Times New Roman" w:eastAsia="Times New Roman" w:hAnsi="Times New Roman" w:cs="Times New Roman"/>
          <w:sz w:val="20"/>
          <w:szCs w:val="20"/>
        </w:rPr>
        <w:t xml:space="preserve">”) la suma de USD </w:t>
      </w:r>
      <w:r w:rsidRPr="00A10C1D">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xml:space="preserve"> (dólares estadounidenses </w:t>
      </w:r>
      <w:r w:rsidRPr="00A10C1D">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xml:space="preserve">). Dicho pago será efectuado en el domicilio del Acreedor sito en Olga </w:t>
      </w:r>
      <w:proofErr w:type="spellStart"/>
      <w:r>
        <w:rPr>
          <w:rFonts w:ascii="Times New Roman" w:eastAsia="Times New Roman" w:hAnsi="Times New Roman" w:cs="Times New Roman"/>
          <w:sz w:val="20"/>
          <w:szCs w:val="20"/>
        </w:rPr>
        <w:t>Cossettini</w:t>
      </w:r>
      <w:proofErr w:type="spellEnd"/>
      <w:r>
        <w:rPr>
          <w:rFonts w:ascii="Times New Roman" w:eastAsia="Times New Roman" w:hAnsi="Times New Roman" w:cs="Times New Roman"/>
          <w:sz w:val="20"/>
          <w:szCs w:val="20"/>
        </w:rPr>
        <w:t xml:space="preserve"> 240, piso 2, Ciudad Autónoma de Buenos Aires, República Argentina (“</w:t>
      </w:r>
      <w:r>
        <w:rPr>
          <w:rFonts w:ascii="Times New Roman" w:eastAsia="Times New Roman" w:hAnsi="Times New Roman" w:cs="Times New Roman"/>
          <w:sz w:val="20"/>
          <w:szCs w:val="20"/>
          <w:u w:val="single"/>
        </w:rPr>
        <w:t>Lugar de Pago</w:t>
      </w:r>
      <w:r>
        <w:rPr>
          <w:rFonts w:ascii="Times New Roman" w:eastAsia="Times New Roman" w:hAnsi="Times New Roman" w:cs="Times New Roman"/>
          <w:sz w:val="20"/>
          <w:szCs w:val="20"/>
        </w:rPr>
        <w:t xml:space="preserve">”), </w:t>
      </w:r>
      <w:r w:rsidRPr="00775DF5">
        <w:rPr>
          <w:rFonts w:ascii="Times New Roman" w:eastAsia="Times New Roman" w:hAnsi="Times New Roman" w:cs="Times New Roman"/>
          <w:sz w:val="20"/>
          <w:szCs w:val="20"/>
        </w:rPr>
        <w:t xml:space="preserve">libre de impuestos, retenciones o deducciones, </w:t>
      </w:r>
      <w:r>
        <w:rPr>
          <w:rFonts w:ascii="Times New Roman" w:eastAsia="Times New Roman" w:hAnsi="Times New Roman" w:cs="Times New Roman"/>
          <w:sz w:val="20"/>
          <w:szCs w:val="20"/>
        </w:rPr>
        <w:t>el día en que este pagaré (el “</w:t>
      </w:r>
      <w:r>
        <w:rPr>
          <w:rFonts w:ascii="Times New Roman" w:eastAsia="Times New Roman" w:hAnsi="Times New Roman" w:cs="Times New Roman"/>
          <w:sz w:val="20"/>
          <w:szCs w:val="20"/>
          <w:u w:val="single"/>
        </w:rPr>
        <w:t>Pagaré</w:t>
      </w:r>
      <w:r>
        <w:rPr>
          <w:rFonts w:ascii="Times New Roman" w:eastAsia="Times New Roman" w:hAnsi="Times New Roman" w:cs="Times New Roman"/>
          <w:sz w:val="20"/>
          <w:szCs w:val="20"/>
        </w:rPr>
        <w:t>”) sea presentado para su cobro (la “</w:t>
      </w:r>
      <w:r>
        <w:rPr>
          <w:rFonts w:ascii="Times New Roman" w:eastAsia="Times New Roman" w:hAnsi="Times New Roman" w:cs="Times New Roman"/>
          <w:sz w:val="20"/>
          <w:szCs w:val="20"/>
          <w:u w:val="single"/>
        </w:rPr>
        <w:t>Fecha de Pago</w:t>
      </w:r>
      <w:r>
        <w:rPr>
          <w:rFonts w:ascii="Times New Roman" w:eastAsia="Times New Roman" w:hAnsi="Times New Roman" w:cs="Times New Roman"/>
          <w:sz w:val="20"/>
          <w:szCs w:val="20"/>
        </w:rPr>
        <w:t>”) en el Lugar de Pago.</w:t>
      </w:r>
    </w:p>
    <w:p w:rsidR="00214402" w:rsidRDefault="00214402" w:rsidP="00214402">
      <w:pPr>
        <w:spacing w:before="200" w:after="120" w:line="240" w:lineRule="auto"/>
        <w:jc w:val="both"/>
        <w:rPr>
          <w:rFonts w:ascii="Times New Roman" w:eastAsia="Times New Roman" w:hAnsi="Times New Roman" w:cs="Times New Roman"/>
          <w:sz w:val="20"/>
          <w:szCs w:val="20"/>
        </w:rPr>
      </w:pPr>
      <w:r w:rsidRPr="00207FA7">
        <w:rPr>
          <w:rFonts w:ascii="Times New Roman" w:eastAsia="Times New Roman" w:hAnsi="Times New Roman" w:cs="Times New Roman"/>
          <w:sz w:val="20"/>
          <w:szCs w:val="20"/>
        </w:rPr>
        <w:t xml:space="preserve">El </w:t>
      </w:r>
      <w:r>
        <w:rPr>
          <w:rFonts w:ascii="Times New Roman" w:eastAsia="Times New Roman" w:hAnsi="Times New Roman" w:cs="Times New Roman"/>
          <w:sz w:val="20"/>
          <w:szCs w:val="20"/>
        </w:rPr>
        <w:t>Deudor</w:t>
      </w:r>
      <w:r w:rsidRPr="00207FA7">
        <w:rPr>
          <w:rFonts w:ascii="Times New Roman" w:eastAsia="Times New Roman" w:hAnsi="Times New Roman" w:cs="Times New Roman"/>
          <w:sz w:val="20"/>
          <w:szCs w:val="20"/>
        </w:rPr>
        <w:t xml:space="preserve"> renuncia expresamente </w:t>
      </w:r>
      <w:r>
        <w:rPr>
          <w:rFonts w:ascii="Times New Roman" w:eastAsia="Times New Roman" w:hAnsi="Times New Roman" w:cs="Times New Roman"/>
          <w:sz w:val="20"/>
          <w:szCs w:val="20"/>
        </w:rPr>
        <w:t>a interponer o invocar cualquier beneficio y excepción, en especial, a los de previa división o excusión de bienes y retractación,</w:t>
      </w:r>
      <w:r w:rsidRPr="00207FA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así como</w:t>
      </w:r>
      <w:r w:rsidRPr="00207FA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w:t>
      </w:r>
      <w:r w:rsidRPr="00207FA7">
        <w:rPr>
          <w:rFonts w:ascii="Times New Roman" w:eastAsia="Times New Roman" w:hAnsi="Times New Roman" w:cs="Times New Roman"/>
          <w:sz w:val="20"/>
          <w:szCs w:val="20"/>
        </w:rPr>
        <w:t>todas las excepciones previstas para el juicio ejecutivo (excepto únicamente por la excepción de pago total documentado, fundada en documento escrito emanado de LDC) y a recusar sin expresión de causa al Juzgado interviniente en la e</w:t>
      </w:r>
      <w:r>
        <w:rPr>
          <w:rFonts w:ascii="Times New Roman" w:eastAsia="Times New Roman" w:hAnsi="Times New Roman" w:cs="Times New Roman"/>
          <w:sz w:val="20"/>
          <w:szCs w:val="20"/>
        </w:rPr>
        <w:t>ventual ejecución de este Pagaré</w:t>
      </w:r>
      <w:r w:rsidRPr="00207FA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sidRPr="00207FA7">
        <w:rPr>
          <w:rFonts w:ascii="Times New Roman" w:eastAsia="Times New Roman" w:hAnsi="Times New Roman" w:cs="Times New Roman"/>
          <w:sz w:val="20"/>
          <w:szCs w:val="20"/>
        </w:rPr>
        <w:t xml:space="preserve">l </w:t>
      </w:r>
      <w:r>
        <w:rPr>
          <w:rFonts w:ascii="Times New Roman" w:eastAsia="Times New Roman" w:hAnsi="Times New Roman" w:cs="Times New Roman"/>
          <w:sz w:val="20"/>
          <w:szCs w:val="20"/>
        </w:rPr>
        <w:t>Deudor asimismo</w:t>
      </w:r>
      <w:r w:rsidRPr="00207FA7">
        <w:rPr>
          <w:rFonts w:ascii="Times New Roman" w:eastAsia="Times New Roman" w:hAnsi="Times New Roman" w:cs="Times New Roman"/>
          <w:sz w:val="20"/>
          <w:szCs w:val="20"/>
        </w:rPr>
        <w:t xml:space="preserve"> renuncia expresamente a invocar la excepción de arraigo u otra similar.</w:t>
      </w:r>
    </w:p>
    <w:p w:rsidR="00214402" w:rsidRDefault="00214402" w:rsidP="00214402">
      <w:pPr>
        <w:spacing w:before="20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 monto de capital de este Pagaré devengará un interés compensatorio desde la fecha de su libramiento hasta la Fecha de Pago, a una tasa de interés </w:t>
      </w:r>
      <w:r w:rsidRPr="009B4AC5">
        <w:rPr>
          <w:rFonts w:ascii="Times New Roman" w:eastAsia="Times New Roman" w:hAnsi="Times New Roman" w:cs="Times New Roman"/>
          <w:sz w:val="20"/>
          <w:szCs w:val="20"/>
        </w:rPr>
        <w:t>fij</w:t>
      </w:r>
      <w:r>
        <w:rPr>
          <w:rFonts w:ascii="Times New Roman" w:eastAsia="Times New Roman" w:hAnsi="Times New Roman" w:cs="Times New Roman"/>
          <w:sz w:val="20"/>
          <w:szCs w:val="20"/>
        </w:rPr>
        <w:t>a que será equivalente al 1% mensual. En caso de falta de pago al momento de presentación de este Pagaré en la Fecha de Pago, el monto de capital de este Pagaré devengará, además del interés compensatorio, un interés punitorio desde la Fecha de Pago hasta la fecha de efectivo pago, a una tasa del 2% mensual</w:t>
      </w:r>
      <w:r w:rsidRPr="00084542">
        <w:rPr>
          <w:rFonts w:ascii="Times New Roman" w:eastAsia="Times New Roman" w:hAnsi="Times New Roman" w:cs="Times New Roman"/>
          <w:sz w:val="20"/>
          <w:szCs w:val="20"/>
        </w:rPr>
        <w:t xml:space="preserve"> contados a partir de la fecha respectiva de presentación hasta la fecha de su pago total.</w:t>
      </w:r>
    </w:p>
    <w:p w:rsidR="00214402" w:rsidRDefault="00214402" w:rsidP="00214402">
      <w:pPr>
        <w:spacing w:before="20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Todo pago de capital, intereses compensatorios y eventuales intereses punitorios bajo el presente Pagaré será hecho por el Deudor exclusivamente en efectivo en dólares estadounidenses billete (cláusula de pago efectivo en moneda extranjera, artículo 44 tercer párrafo del decreto-ley 5.965/63 y artículo 766 del Código Civil y Comercial de la Nación), debiendo el Deudor entregar la cantidad correspondiente de la especie (dólares estadounidenses) designada (artículo 766 del Código Civil y Comercial de la Nación). En consecuencia, el Deudor por el presente declara y reconoce que el artículo 765 del Código Civil y Comercial de la Nación no es aplicable al presente Pagaré y el Deudor renuncia expresamente a invocar esa disposición. Si en la Fecha de Pago, por disposiciones cambiarias en la República Argentina, el Deudor se encontrare impedido para efectuar el pago en dólares estadounidenses billete, el Deudor efectuará tal pago a opción del Acreedor mediante la entrega de moneda de curso legal en la República Argentina en cantidad suficiente para adquirir títulos públicos emitidos por la República Argentina denominados en dólares estadounidenses u otros títulos valores o bonos públicos o privados denominados en dólares estadounidenses, a elección del Acreedor,  que, transferidos y vendidos fuera de la República Argentina por un precio en dólares estadounidenses, su producido en dólares estadounidenses, neto de gastos, impuestos y comisiones, equivalga a las sumas adeudadas por el Deudor. Todos los tributos y costos relacionados con dichas transacciones serán soportados por el Deudor.</w:t>
      </w:r>
    </w:p>
    <w:p w:rsidR="00214402" w:rsidRDefault="00214402" w:rsidP="00214402">
      <w:pPr>
        <w:spacing w:before="20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Deudor deja expresa constancia que renuncia en forma incondicional e irrevocable a invocar cualquier imposibilidad de pago en dólares estadounidenses de las sumas adeudadas mediante el presente Pagaré, incluyendo, sin limitación, debido a que (i) la compra de dólares estadounidenses en la República Argentina se hubiere vuelto más onerosa que lo que fuera a la fecha de emisión del presente Pagaré, o (ii) el tipo de cambio aplicable hubiere aumentado significativamente desde la fecha de emisión del presente Pagaré. Asimismo, el Deudor deja expresa constancia que renuncia en forma incondicional e irrevocable a invocar la teoría de la imprevisión y onerosidad sobreviniente (Art. 1091 del Código Civil y Comercial de la Nación). Todos los gastos, costos, comisiones e impuestos pagaderos con relación a los procedimientos aquí contemplados serán soportados por el Deudor.</w:t>
      </w:r>
    </w:p>
    <w:p w:rsidR="00214402" w:rsidRDefault="00214402" w:rsidP="00214402">
      <w:pPr>
        <w:spacing w:before="20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Queda expresamente establecido que, en cualquiera de los supuestos previstos para la adquisición de dólares estadounidenses, el presente Pagaré sólo se considerará pagado cuando el Acreedor reciba en el Lugar de Pago la suma de dólares estadounidenses arriba señalada.</w:t>
      </w:r>
    </w:p>
    <w:p w:rsidR="00214402" w:rsidRDefault="00214402" w:rsidP="00214402">
      <w:pPr>
        <w:spacing w:before="20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Todos los montos adeudados bajo el presente Pagaré serán pagados libres de, y sin deducciones por, impuestos, tasas, gastos, derechos y/o retenciones, presentes y/o futuros, de cualquier naturaleza y/o tipo, sean éstos de jurisdicción nacional o provincial, o aplicados o cobrados por cualquier autoridad impositiva. En caso de ser aplicable algún impuesto, tasa, gasto, derecho o retención de la índole mencionada o de cualquier otra, el mismo será pagado exclusivamente por el Deudor.</w:t>
      </w:r>
    </w:p>
    <w:p w:rsidR="00214402" w:rsidRDefault="00214402" w:rsidP="00214402">
      <w:pPr>
        <w:spacing w:before="20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 validez del presente Pagaré y de las obligaciones emanadas del mismo serán regidas e interpretadas por las leyes de la República Argentina, especialmente el decreto-ley 5.965/63 de la Argentina. Para cualquier controversia que se suscite con relación al presente Pagaré, el Deudor y el Acreedor se sujetan a la jurisdicción y competencia de los tribunales en lo comercial de la Ciudad Autónoma de Buenos Aires, renunciando a cualquier otro fuero o jurisdicción que pudiera corresponder. </w:t>
      </w:r>
    </w:p>
    <w:p w:rsidR="00214402" w:rsidRDefault="00214402" w:rsidP="00214402">
      <w:pPr>
        <w:spacing w:before="200" w:after="120" w:line="240" w:lineRule="auto"/>
        <w:jc w:val="both"/>
        <w:rPr>
          <w:rFonts w:ascii="Times New Roman" w:eastAsia="Times New Roman" w:hAnsi="Times New Roman" w:cs="Times New Roman"/>
          <w:sz w:val="20"/>
          <w:szCs w:val="20"/>
        </w:rPr>
      </w:pPr>
      <w:r w:rsidRPr="00416971">
        <w:rPr>
          <w:rFonts w:ascii="Times New Roman" w:eastAsia="Times New Roman" w:hAnsi="Times New Roman" w:cs="Times New Roman"/>
          <w:sz w:val="20"/>
          <w:szCs w:val="20"/>
        </w:rPr>
        <w:t>Para todos los efectos legales derivados del presente P</w:t>
      </w:r>
      <w:r>
        <w:rPr>
          <w:rFonts w:ascii="Times New Roman" w:eastAsia="Times New Roman" w:hAnsi="Times New Roman" w:cs="Times New Roman"/>
          <w:sz w:val="20"/>
          <w:szCs w:val="20"/>
        </w:rPr>
        <w:t>agaré</w:t>
      </w:r>
      <w:r w:rsidRPr="00416971">
        <w:rPr>
          <w:rFonts w:ascii="Times New Roman" w:eastAsia="Times New Roman" w:hAnsi="Times New Roman" w:cs="Times New Roman"/>
          <w:sz w:val="20"/>
          <w:szCs w:val="20"/>
        </w:rPr>
        <w:t xml:space="preserve">, el </w:t>
      </w:r>
      <w:r>
        <w:rPr>
          <w:rFonts w:ascii="Times New Roman" w:eastAsia="Times New Roman" w:hAnsi="Times New Roman" w:cs="Times New Roman"/>
          <w:sz w:val="20"/>
          <w:szCs w:val="20"/>
        </w:rPr>
        <w:t>Deudor</w:t>
      </w:r>
      <w:r w:rsidRPr="00416971">
        <w:rPr>
          <w:rFonts w:ascii="Times New Roman" w:eastAsia="Times New Roman" w:hAnsi="Times New Roman" w:cs="Times New Roman"/>
          <w:sz w:val="20"/>
          <w:szCs w:val="20"/>
        </w:rPr>
        <w:t xml:space="preserve"> constituye domicilio especial en el mencionado en el primer párrafo del presente, donde serán válidas todas las notificaciones que en el mismo se practiquen. El </w:t>
      </w:r>
      <w:r>
        <w:rPr>
          <w:rFonts w:ascii="Times New Roman" w:eastAsia="Times New Roman" w:hAnsi="Times New Roman" w:cs="Times New Roman"/>
          <w:sz w:val="20"/>
          <w:szCs w:val="20"/>
        </w:rPr>
        <w:t>Deudor</w:t>
      </w:r>
      <w:r w:rsidRPr="00416971">
        <w:rPr>
          <w:rFonts w:ascii="Times New Roman" w:eastAsia="Times New Roman" w:hAnsi="Times New Roman" w:cs="Times New Roman"/>
          <w:sz w:val="20"/>
          <w:szCs w:val="20"/>
        </w:rPr>
        <w:t xml:space="preserve"> acepta expresamente que el citado domicilio tendrá asimismo el carácter de domicilio constituido para todos los efectos judiciales, en los términos del artículo 40 y concordantes del Código Procesal Civil y Comercial de la Nación.</w:t>
      </w:r>
    </w:p>
    <w:p w:rsidR="00214402" w:rsidRDefault="00214402" w:rsidP="00214402">
      <w:pPr>
        <w:spacing w:before="20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 conformidad con lo previsto en el artículo 36 del Decreto-Ley No. 5965/63, el plazo para la presentación del presente pagaré se amplía a 5 (cinco) años desd</w:t>
      </w:r>
      <w:bookmarkStart w:id="0" w:name="_GoBack"/>
      <w:bookmarkEnd w:id="0"/>
      <w:r>
        <w:rPr>
          <w:rFonts w:ascii="Times New Roman" w:eastAsia="Times New Roman" w:hAnsi="Times New Roman" w:cs="Times New Roman"/>
          <w:sz w:val="20"/>
          <w:szCs w:val="20"/>
        </w:rPr>
        <w:t>e su fecha de emisión.</w:t>
      </w:r>
    </w:p>
    <w:p w:rsidR="00214402" w:rsidRDefault="00214402" w:rsidP="002144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Deudor: </w:t>
      </w:r>
      <w:r w:rsidR="007B6BB2" w:rsidRPr="00A10C1D">
        <w:rPr>
          <w:rFonts w:ascii="Times New Roman" w:eastAsia="Times New Roman" w:hAnsi="Times New Roman" w:cs="Times New Roman"/>
          <w:sz w:val="20"/>
          <w:szCs w:val="20"/>
          <w:highlight w:val="yellow"/>
        </w:rPr>
        <w:t>[</w:t>
      </w:r>
      <w:r w:rsidR="007B6BB2">
        <w:rPr>
          <w:rFonts w:ascii="Times New Roman" w:eastAsia="Times New Roman" w:hAnsi="Times New Roman" w:cs="Times New Roman"/>
          <w:sz w:val="20"/>
          <w:szCs w:val="20"/>
          <w:highlight w:val="yellow"/>
        </w:rPr>
        <w:t>Nombre</w:t>
      </w:r>
      <w:r w:rsidR="007B6BB2" w:rsidRPr="00A10C1D">
        <w:rPr>
          <w:rFonts w:ascii="Times New Roman" w:eastAsia="Times New Roman" w:hAnsi="Times New Roman" w:cs="Times New Roman"/>
          <w:sz w:val="20"/>
          <w:szCs w:val="20"/>
          <w:highlight w:val="yellow"/>
        </w:rPr>
        <w:t>]</w:t>
      </w:r>
    </w:p>
    <w:p w:rsidR="00214402" w:rsidRDefault="00214402" w:rsidP="002144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Domicilio: </w:t>
      </w:r>
      <w:r w:rsidRPr="004502A0">
        <w:rPr>
          <w:rFonts w:ascii="Times New Roman" w:eastAsia="Times New Roman" w:hAnsi="Times New Roman" w:cs="Times New Roman"/>
          <w:b/>
          <w:sz w:val="20"/>
          <w:szCs w:val="20"/>
          <w:highlight w:val="yellow"/>
        </w:rPr>
        <w:t>[●]</w:t>
      </w:r>
    </w:p>
    <w:p w:rsidR="00214402" w:rsidRDefault="00214402" w:rsidP="002144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Times New Roman" w:hAnsi="Times New Roman" w:cs="Times New Roman"/>
          <w:sz w:val="20"/>
          <w:szCs w:val="20"/>
        </w:rPr>
      </w:pPr>
    </w:p>
    <w:p w:rsidR="00214402" w:rsidRDefault="00214402" w:rsidP="002144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w:t>
      </w:r>
    </w:p>
    <w:p w:rsidR="00214402" w:rsidRDefault="00214402" w:rsidP="002144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DNI: </w:t>
      </w:r>
      <w:r w:rsidR="007B6BB2" w:rsidRPr="00A10C1D">
        <w:rPr>
          <w:rFonts w:ascii="Times New Roman" w:eastAsia="Times New Roman" w:hAnsi="Times New Roman" w:cs="Times New Roman"/>
          <w:sz w:val="20"/>
          <w:szCs w:val="20"/>
          <w:highlight w:val="yellow"/>
        </w:rPr>
        <w:t>[●]</w:t>
      </w:r>
    </w:p>
    <w:p w:rsidR="00214402" w:rsidRDefault="007B6BB2" w:rsidP="002144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CUIT N°: </w:t>
      </w:r>
      <w:r w:rsidRPr="00A10C1D">
        <w:rPr>
          <w:rFonts w:ascii="Times New Roman" w:eastAsia="Times New Roman" w:hAnsi="Times New Roman" w:cs="Times New Roman"/>
          <w:sz w:val="20"/>
          <w:szCs w:val="20"/>
          <w:highlight w:val="yellow"/>
        </w:rPr>
        <w:t>[●]</w:t>
      </w:r>
    </w:p>
    <w:p w:rsidR="00214402" w:rsidRDefault="00214402" w:rsidP="00214402">
      <w:pPr>
        <w:tabs>
          <w:tab w:val="left" w:pos="-720"/>
        </w:tabs>
        <w:spacing w:line="240" w:lineRule="auto"/>
        <w:jc w:val="center"/>
        <w:rPr>
          <w:rFonts w:ascii="Times New Roman" w:eastAsia="Times New Roman" w:hAnsi="Times New Roman" w:cs="Times New Roman"/>
          <w:sz w:val="20"/>
          <w:szCs w:val="20"/>
        </w:rPr>
      </w:pPr>
    </w:p>
    <w:p w:rsidR="00214402" w:rsidRDefault="00214402" w:rsidP="00214402">
      <w:pPr>
        <w:tabs>
          <w:tab w:val="left" w:pos="-720"/>
        </w:tabs>
        <w:spacing w:line="240" w:lineRule="auto"/>
        <w:rPr>
          <w:rFonts w:ascii="Times New Roman" w:eastAsia="Times New Roman" w:hAnsi="Times New Roman" w:cs="Times New Roman"/>
          <w:sz w:val="20"/>
          <w:szCs w:val="20"/>
          <w:highlight w:val="yellow"/>
        </w:rPr>
      </w:pPr>
    </w:p>
    <w:p w:rsidR="00080EB5" w:rsidRDefault="00080EB5" w:rsidP="00214402">
      <w:pPr>
        <w:tabs>
          <w:tab w:val="left" w:pos="-720"/>
        </w:tabs>
        <w:spacing w:line="240" w:lineRule="auto"/>
        <w:rPr>
          <w:rFonts w:ascii="Times New Roman" w:eastAsia="Times New Roman" w:hAnsi="Times New Roman" w:cs="Times New Roman"/>
          <w:sz w:val="20"/>
          <w:szCs w:val="20"/>
          <w:highlight w:val="yellow"/>
        </w:rPr>
      </w:pPr>
    </w:p>
    <w:p w:rsidR="00080EB5" w:rsidRDefault="00080EB5" w:rsidP="00214402">
      <w:pPr>
        <w:tabs>
          <w:tab w:val="left" w:pos="-720"/>
        </w:tabs>
        <w:spacing w:line="240" w:lineRule="auto"/>
        <w:rPr>
          <w:rFonts w:ascii="Times New Roman" w:eastAsia="Times New Roman" w:hAnsi="Times New Roman" w:cs="Times New Roman"/>
          <w:sz w:val="20"/>
          <w:szCs w:val="20"/>
        </w:rPr>
      </w:pPr>
    </w:p>
    <w:p w:rsidR="00080EB5" w:rsidRPr="00080EB5" w:rsidRDefault="00080EB5" w:rsidP="00214402">
      <w:pPr>
        <w:tabs>
          <w:tab w:val="left" w:pos="-720"/>
        </w:tabs>
        <w:spacing w:line="240" w:lineRule="auto"/>
        <w:rPr>
          <w:rFonts w:ascii="Times New Roman" w:eastAsia="Times New Roman" w:hAnsi="Times New Roman" w:cs="Times New Roman"/>
          <w:sz w:val="20"/>
          <w:szCs w:val="20"/>
        </w:rPr>
      </w:pPr>
      <w:r w:rsidRPr="00080EB5">
        <w:rPr>
          <w:rFonts w:ascii="Times New Roman" w:eastAsia="Times New Roman" w:hAnsi="Times New Roman" w:cs="Times New Roman"/>
          <w:sz w:val="20"/>
          <w:szCs w:val="20"/>
        </w:rPr>
        <w:t>Por AVAL:</w:t>
      </w:r>
    </w:p>
    <w:p w:rsidR="00080EB5" w:rsidRDefault="00080EB5" w:rsidP="00214402">
      <w:pPr>
        <w:tabs>
          <w:tab w:val="left" w:pos="-720"/>
        </w:tabs>
        <w:spacing w:line="240" w:lineRule="auto"/>
        <w:rPr>
          <w:rFonts w:ascii="Times New Roman" w:eastAsia="Times New Roman" w:hAnsi="Times New Roman" w:cs="Times New Roman"/>
          <w:sz w:val="20"/>
          <w:szCs w:val="20"/>
          <w:highlight w:val="yellow"/>
        </w:rPr>
      </w:pPr>
    </w:p>
    <w:p w:rsidR="00080EB5" w:rsidRDefault="00080EB5" w:rsidP="00214402">
      <w:pPr>
        <w:tabs>
          <w:tab w:val="left" w:pos="-720"/>
        </w:tabs>
        <w:spacing w:line="240" w:lineRule="auto"/>
        <w:rPr>
          <w:rFonts w:ascii="Times New Roman" w:eastAsia="Times New Roman" w:hAnsi="Times New Roman" w:cs="Times New Roman"/>
          <w:sz w:val="20"/>
          <w:szCs w:val="20"/>
          <w:highlight w:val="yellow"/>
        </w:rPr>
      </w:pPr>
    </w:p>
    <w:p w:rsidR="00080EB5" w:rsidRDefault="00080EB5" w:rsidP="00080E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Times New Roman" w:hAnsi="Times New Roman" w:cs="Times New Roman"/>
          <w:sz w:val="20"/>
          <w:szCs w:val="20"/>
        </w:rPr>
      </w:pPr>
    </w:p>
    <w:p w:rsidR="00080EB5" w:rsidRDefault="00080EB5" w:rsidP="00080E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w:t>
      </w:r>
    </w:p>
    <w:p w:rsidR="00080EB5" w:rsidRDefault="00080EB5" w:rsidP="00080E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DNI: </w:t>
      </w:r>
      <w:r w:rsidRPr="00A10C1D">
        <w:rPr>
          <w:rFonts w:ascii="Times New Roman" w:eastAsia="Times New Roman" w:hAnsi="Times New Roman" w:cs="Times New Roman"/>
          <w:sz w:val="20"/>
          <w:szCs w:val="20"/>
          <w:highlight w:val="yellow"/>
        </w:rPr>
        <w:t>[●]</w:t>
      </w:r>
    </w:p>
    <w:p w:rsidR="00080EB5" w:rsidRDefault="00080EB5" w:rsidP="00080E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CUIT N°: </w:t>
      </w:r>
      <w:r w:rsidRPr="00A10C1D">
        <w:rPr>
          <w:rFonts w:ascii="Times New Roman" w:eastAsia="Times New Roman" w:hAnsi="Times New Roman" w:cs="Times New Roman"/>
          <w:sz w:val="20"/>
          <w:szCs w:val="20"/>
          <w:highlight w:val="yellow"/>
        </w:rPr>
        <w:t>[●]</w:t>
      </w:r>
    </w:p>
    <w:p w:rsidR="00080EB5" w:rsidRDefault="00080EB5" w:rsidP="00214402">
      <w:pPr>
        <w:tabs>
          <w:tab w:val="left" w:pos="-720"/>
        </w:tabs>
        <w:spacing w:line="240" w:lineRule="auto"/>
        <w:rPr>
          <w:rFonts w:ascii="Times New Roman" w:eastAsia="Times New Roman" w:hAnsi="Times New Roman" w:cs="Times New Roman"/>
          <w:sz w:val="20"/>
          <w:szCs w:val="20"/>
          <w:highlight w:val="yellow"/>
        </w:rPr>
      </w:pPr>
    </w:p>
    <w:p w:rsidR="00A52596" w:rsidRDefault="00CB392D"/>
    <w:sectPr w:rsidR="00A52596">
      <w:footerReference w:type="default" r:id="rId6"/>
      <w:footerReference w:type="first" r:id="rId7"/>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92D" w:rsidRDefault="00CB392D">
      <w:pPr>
        <w:spacing w:line="240" w:lineRule="auto"/>
      </w:pPr>
      <w:r>
        <w:separator/>
      </w:r>
    </w:p>
  </w:endnote>
  <w:endnote w:type="continuationSeparator" w:id="0">
    <w:p w:rsidR="00CB392D" w:rsidRDefault="00CB3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CA" w:rsidRDefault="007B6BB2">
    <w:pPr>
      <w:jc w:val="right"/>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4007F8">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CA" w:rsidRDefault="00CB392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92D" w:rsidRDefault="00CB392D">
      <w:pPr>
        <w:spacing w:line="240" w:lineRule="auto"/>
      </w:pPr>
      <w:r>
        <w:separator/>
      </w:r>
    </w:p>
  </w:footnote>
  <w:footnote w:type="continuationSeparator" w:id="0">
    <w:p w:rsidR="00CB392D" w:rsidRDefault="00CB39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402"/>
    <w:rsid w:val="00080EB5"/>
    <w:rsid w:val="00214402"/>
    <w:rsid w:val="004007F8"/>
    <w:rsid w:val="007B6BB2"/>
    <w:rsid w:val="00817648"/>
    <w:rsid w:val="008B61AA"/>
    <w:rsid w:val="00BD582F"/>
    <w:rsid w:val="00CB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DC9C"/>
  <w15:chartTrackingRefBased/>
  <w15:docId w15:val="{0F52CF4E-390D-4FAC-8723-66C7B495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4402"/>
    <w:pPr>
      <w:spacing w:after="0" w:line="276" w:lineRule="auto"/>
    </w:pPr>
    <w:rPr>
      <w:rFonts w:ascii="Calibri" w:eastAsia="Calibri" w:hAnsi="Calibri" w:cs="Calibri"/>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985</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Louis Dreyfus Company</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Guidotti</dc:creator>
  <cp:keywords/>
  <dc:description/>
  <cp:lastModifiedBy>Agustin Lucarelli</cp:lastModifiedBy>
  <cp:revision>2</cp:revision>
  <dcterms:created xsi:type="dcterms:W3CDTF">2021-04-08T12:53:00Z</dcterms:created>
  <dcterms:modified xsi:type="dcterms:W3CDTF">2021-04-08T12:53:00Z</dcterms:modified>
</cp:coreProperties>
</file>